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r w:rsidDel="00000000" w:rsidR="00000000" w:rsidRPr="00000000">
        <w:rPr>
          <w:rtl w:val="0"/>
        </w:rPr>
        <w:t xml:space="preserve">Evaluation of Performance Indicators for COP 119 Standard</w:t>
      </w:r>
    </w:p>
    <w:p w:rsidR="00000000" w:rsidDel="00000000" w:rsidP="00000000" w:rsidRDefault="00000000" w:rsidRPr="00000000" w14:paraId="00000002">
      <w:pPr>
        <w:pStyle w:val="Heading2"/>
        <w:rPr/>
      </w:pPr>
      <w:r w:rsidDel="00000000" w:rsidR="00000000" w:rsidRPr="00000000">
        <w:rPr>
          <w:rtl w:val="0"/>
        </w:rPr>
        <w:t xml:space="preserve">Introduction</w:t>
      </w:r>
    </w:p>
    <w:p w:rsidR="00000000" w:rsidDel="00000000" w:rsidP="00000000" w:rsidRDefault="00000000" w:rsidRPr="00000000" w14:paraId="00000003">
      <w:pPr>
        <w:rPr/>
      </w:pPr>
      <w:r w:rsidDel="00000000" w:rsidR="00000000" w:rsidRPr="00000000">
        <w:rPr>
          <w:rtl w:val="0"/>
        </w:rPr>
        <w:t xml:space="preserve">The Evaluation of Performance Indicators section is crucial for assessing how well NWF Facilities Ltd is meeting its objectives and compliance requirements according to the COP 119 standard. This section includes an analysis of key performance indicators (KPIs), results, and an evaluation of trends and areas for improvement.</w:t>
      </w:r>
    </w:p>
    <w:p w:rsidR="00000000" w:rsidDel="00000000" w:rsidP="00000000" w:rsidRDefault="00000000" w:rsidRPr="00000000" w14:paraId="00000004">
      <w:pPr>
        <w:pStyle w:val="Heading2"/>
        <w:rPr/>
      </w:pPr>
      <w:r w:rsidDel="00000000" w:rsidR="00000000" w:rsidRPr="00000000">
        <w:rPr>
          <w:rtl w:val="0"/>
        </w:rPr>
        <w:t xml:space="preserve">Key Performance Indicators (KPIs)</w:t>
      </w:r>
    </w:p>
    <w:p w:rsidR="00000000" w:rsidDel="00000000" w:rsidP="00000000" w:rsidRDefault="00000000" w:rsidRPr="00000000" w14:paraId="00000005">
      <w:pPr>
        <w:rPr/>
      </w:pPr>
      <w:r w:rsidDel="00000000" w:rsidR="00000000" w:rsidRPr="00000000">
        <w:rPr>
          <w:rtl w:val="0"/>
        </w:rPr>
        <w:t xml:space="preserve">The following KPIs have been identified to measure our performance against the COP 119 standard:</w:t>
        <w:br w:type="textWrapping"/>
        <w:t xml:space="preserve">1. Compliance Rate</w:t>
        <w:br w:type="textWrapping"/>
        <w:t xml:space="preserve">   - Description: Percentage of operations compliant with COP 119 standard.</w:t>
        <w:br w:type="textWrapping"/>
        <w:t xml:space="preserve">   - Target: 100%</w:t>
        <w:br w:type="textWrapping"/>
        <w:t xml:space="preserve">   - Current Performance: 100%</w:t>
        <w:br w:type="textWrapping"/>
        <w:br w:type="textWrapping"/>
        <w:t xml:space="preserve">2. Non-Conformance Incidents</w:t>
        <w:br w:type="textWrapping"/>
        <w:t xml:space="preserve">   - Description: Number of non-conformance incidents reported.</w:t>
        <w:br w:type="textWrapping"/>
        <w:t xml:space="preserve">   - Target: Zero incidents</w:t>
        <w:br w:type="textWrapping"/>
        <w:t xml:space="preserve">   - Current Performance: 100%</w:t>
        <w:br w:type="textWrapping"/>
        <w:br w:type="textWrapping"/>
        <w:t xml:space="preserve">3. Corrective Action Implementation Rate</w:t>
        <w:br w:type="textWrapping"/>
        <w:t xml:space="preserve">   - Description: Percentage of corrective actions successfully implemented within the stipulated timeframe.</w:t>
        <w:br w:type="textWrapping"/>
        <w:t xml:space="preserve">   - Target: 95%</w:t>
        <w:br w:type="textWrapping"/>
        <w:t xml:space="preserve">   - Current Performance: 100%</w:t>
        <w:br w:type="textWrapping"/>
        <w:br w:type="textWrapping"/>
        <w:t xml:space="preserve">4. Customer Satisfaction</w:t>
        <w:br w:type="textWrapping"/>
        <w:t xml:space="preserve">   - Description: Customer satisfaction rating based on feedback and surveys.</w:t>
        <w:br w:type="textWrapping"/>
        <w:t xml:space="preserve">   - Target: 90% or higher</w:t>
        <w:br w:type="textWrapping"/>
        <w:t xml:space="preserve">   - Current Performance: 90%</w:t>
        <w:br w:type="textWrapping"/>
        <w:br w:type="textWrapping"/>
        <w:t xml:space="preserve">5. Employee Training Completion</w:t>
        <w:br w:type="textWrapping"/>
        <w:t xml:space="preserve">   - Description: Percentage of employees who have completed required training programs.</w:t>
        <w:br w:type="textWrapping"/>
        <w:t xml:space="preserve">   - Target: 100%</w:t>
        <w:br w:type="textWrapping"/>
        <w:t xml:space="preserve">   - Current Performance: 100%</w:t>
        <w:br w:type="textWrapping"/>
        <w:br w:type="textWrapping"/>
        <w:t xml:space="preserve">6. Audit Scores</w:t>
        <w:br w:type="textWrapping"/>
        <w:t xml:space="preserve">   - Description: Average scores from internal and external audits.</w:t>
        <w:br w:type="textWrapping"/>
        <w:t xml:space="preserve">   - Target: 90% or higher</w:t>
        <w:br w:type="textWrapping"/>
        <w:t xml:space="preserve">   - Current Performance: 90%</w:t>
      </w:r>
    </w:p>
    <w:p w:rsidR="00000000" w:rsidDel="00000000" w:rsidP="00000000" w:rsidRDefault="00000000" w:rsidRPr="00000000" w14:paraId="00000006">
      <w:pPr>
        <w:pStyle w:val="Heading2"/>
        <w:rPr/>
      </w:pPr>
      <w:r w:rsidDel="00000000" w:rsidR="00000000" w:rsidRPr="00000000">
        <w:rPr>
          <w:rtl w:val="0"/>
        </w:rPr>
        <w:t xml:space="preserve">Results</w:t>
      </w:r>
    </w:p>
    <w:p w:rsidR="00000000" w:rsidDel="00000000" w:rsidP="00000000" w:rsidRDefault="00000000" w:rsidRPr="00000000" w14:paraId="00000007">
      <w:pPr>
        <w:pStyle w:val="Heading2"/>
        <w:rPr/>
      </w:pPr>
      <w:r w:rsidDel="00000000" w:rsidR="00000000" w:rsidRPr="00000000">
        <w:rPr>
          <w:rtl w:val="0"/>
        </w:rPr>
        <w:t xml:space="preserve">Analysis</w:t>
      </w:r>
    </w:p>
    <w:p w:rsidR="00000000" w:rsidDel="00000000" w:rsidP="00000000" w:rsidRDefault="00000000" w:rsidRPr="00000000" w14:paraId="00000008">
      <w:pPr>
        <w:rPr/>
      </w:pPr>
      <w:r w:rsidDel="00000000" w:rsidR="00000000" w:rsidRPr="00000000">
        <w:rPr>
          <w:rtl w:val="0"/>
        </w:rPr>
        <w:t xml:space="preserve">- Trends: </w:t>
        <w:br w:type="textWrapping"/>
        <w:t xml:space="preserve">  - We have observed [Trend Description], indicating [Positive/Negative] performance in service delivery</w:t>
        <w:br w:type="textWrapping"/>
        <w:t xml:space="preserve">  </w:t>
        <w:br w:type="textWrapping"/>
        <w:t xml:space="preserve">- Strengths:</w:t>
        <w:br w:type="textWrapping"/>
        <w:t xml:space="preserve">  - High compliance rate in [Specific Area].</w:t>
        <w:br w:type="textWrapping"/>
        <w:t xml:space="preserve">  - Successful implementation of corrective actions, particularly in [Specific Department].</w:t>
        <w:br w:type="textWrapping"/>
        <w:br w:type="textWrapping"/>
        <w:t xml:space="preserve">- Areas for Improvement:</w:t>
        <w:br w:type="textWrapping"/>
        <w:t xml:space="preserve">  - Need to reduce the number of non-conformance incidents by [Strategy].</w:t>
        <w:br w:type="textWrapping"/>
        <w:t xml:space="preserve">  - Improve customer satisfaction by [Strategy].</w:t>
        <w:br w:type="textWrapping"/>
        <w:t xml:space="preserve">  - Enhance training programs to ensure 100% completion.</w:t>
      </w:r>
    </w:p>
    <w:p w:rsidR="00000000" w:rsidDel="00000000" w:rsidP="00000000" w:rsidRDefault="00000000" w:rsidRPr="00000000" w14:paraId="00000009">
      <w:pPr>
        <w:pStyle w:val="Heading2"/>
        <w:rPr/>
      </w:pPr>
      <w:r w:rsidDel="00000000" w:rsidR="00000000" w:rsidRPr="00000000">
        <w:rPr>
          <w:rtl w:val="0"/>
        </w:rPr>
        <w:t xml:space="preserve">Actions</w:t>
      </w:r>
    </w:p>
    <w:p w:rsidR="00000000" w:rsidDel="00000000" w:rsidP="00000000" w:rsidRDefault="00000000" w:rsidRPr="00000000" w14:paraId="0000000A">
      <w:pPr>
        <w:rPr/>
      </w:pPr>
      <w:r w:rsidDel="00000000" w:rsidR="00000000" w:rsidRPr="00000000">
        <w:rPr>
          <w:rtl w:val="0"/>
        </w:rPr>
        <w:t xml:space="preserve">- Non-Conformance Incidents: Implement [Specific Action] to address and reduce incidents.</w:t>
        <w:br w:type="textWrapping"/>
        <w:t xml:space="preserve">- Customer Satisfaction: Launch [Specific Initiative] to improve customer feedback and satisfaction levels.</w:t>
        <w:br w:type="textWrapping"/>
        <w:t xml:space="preserve">- Training Programs: Introduce [Specific Program] to ensure all employees complete necessary training.</w:t>
      </w:r>
    </w:p>
    <w:p w:rsidR="00000000" w:rsidDel="00000000" w:rsidP="00000000" w:rsidRDefault="00000000" w:rsidRPr="00000000" w14:paraId="0000000B">
      <w:pPr>
        <w:pStyle w:val="Heading2"/>
        <w:rPr/>
      </w:pPr>
      <w:r w:rsidDel="00000000" w:rsidR="00000000" w:rsidRPr="00000000">
        <w:rPr>
          <w:rtl w:val="0"/>
        </w:rPr>
        <w:t xml:space="preserve">Conclusion</w:t>
      </w:r>
    </w:p>
    <w:p w:rsidR="00000000" w:rsidDel="00000000" w:rsidP="00000000" w:rsidRDefault="00000000" w:rsidRPr="00000000" w14:paraId="0000000C">
      <w:pPr>
        <w:rPr/>
      </w:pPr>
      <w:r w:rsidDel="00000000" w:rsidR="00000000" w:rsidRPr="00000000">
        <w:rPr>
          <w:rtl w:val="0"/>
        </w:rPr>
        <w:t xml:space="preserve">The evaluation of our performance indicators highlights both strengths and areas needing improvement. By focusing on these areas, we aim to enhance our overall performance and ensure compliance with the COP 119 standard.</w:t>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QMS </w:t>
    </w:r>
    <w:r w:rsidDel="00000000" w:rsidR="00000000" w:rsidRPr="00000000">
      <w:rPr>
        <w:sz w:val="16"/>
        <w:szCs w:val="16"/>
        <w:rtl w:val="0"/>
      </w:rPr>
      <w:t xml:space="preserve">107</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   </w:t>
    </w:r>
    <w:r w:rsidDel="00000000" w:rsidR="00000000" w:rsidRPr="00000000">
      <w:rPr>
        <w:sz w:val="16"/>
        <w:szCs w:val="16"/>
        <w:rtl w:val="0"/>
      </w:rPr>
      <w:t xml:space="preserve">V</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ersion 1   Date: 01/</w:t>
    </w:r>
    <w:r w:rsidDel="00000000" w:rsidR="00000000" w:rsidRPr="00000000">
      <w:rPr>
        <w:sz w:val="16"/>
        <w:szCs w:val="16"/>
        <w:rtl w:val="0"/>
      </w:rPr>
      <w:t xml:space="preserve">02</w:t>
    </w:r>
    <w:r w:rsidDel="00000000" w:rsidR="00000000" w:rsidRPr="00000000">
      <w:rPr>
        <w:rFonts w:ascii="Cambria" w:cs="Cambria" w:eastAsia="Cambria" w:hAnsi="Cambria"/>
        <w:b w:val="0"/>
        <w:i w:val="0"/>
        <w:smallCaps w:val="0"/>
        <w:strike w:val="0"/>
        <w:color w:val="000000"/>
        <w:sz w:val="16"/>
        <w:szCs w:val="16"/>
        <w:u w:val="none"/>
        <w:shd w:fill="auto" w:val="clear"/>
        <w:vertAlign w:val="baseline"/>
        <w:rtl w:val="0"/>
      </w:rPr>
      <w:t xml:space="preserve">/202</w:t>
    </w:r>
    <w:r w:rsidDel="00000000" w:rsidR="00000000" w:rsidRPr="00000000">
      <w:rPr>
        <w:sz w:val="16"/>
        <w:szCs w:val="16"/>
        <w:rtl w:val="0"/>
      </w:rPr>
      <w:t xml:space="preserve">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widowControl w:val="0"/>
      <w:spacing w:after="0" w:line="276" w:lineRule="auto"/>
      <w:rPr>
        <w:rFonts w:ascii="Calibri" w:cs="Calibri" w:eastAsia="Calibri" w:hAnsi="Calibri"/>
        <w:sz w:val="24"/>
        <w:szCs w:val="24"/>
      </w:rPr>
    </w:pPr>
    <w:r w:rsidDel="00000000" w:rsidR="00000000" w:rsidRPr="00000000">
      <w:rPr>
        <w:rtl w:val="0"/>
      </w:rPr>
    </w:r>
  </w:p>
  <w:tbl>
    <w:tblPr>
      <w:tblStyle w:val="Table1"/>
      <w:tblpPr w:leftFromText="180" w:rightFromText="180" w:topFromText="180" w:bottomFromText="180" w:vertAnchor="text" w:horzAnchor="text" w:tblpX="-660" w:tblpY="0"/>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vAlign w:val="center"/>
        </w:tcPr>
        <w:p w:rsidR="00000000" w:rsidDel="00000000" w:rsidP="00000000" w:rsidRDefault="00000000" w:rsidRPr="00000000" w14:paraId="0000000E">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11">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12">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13">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Performance Evaluation</w:t>
          </w:r>
          <w:r w:rsidDel="00000000" w:rsidR="00000000" w:rsidRPr="00000000">
            <w:rPr>
              <w:rtl w:val="0"/>
            </w:rPr>
          </w:r>
        </w:p>
      </w:tc>
      <w:tc>
        <w:tcPr>
          <w:vAlign w:val="center"/>
        </w:tcPr>
        <w:p w:rsidR="00000000" w:rsidDel="00000000" w:rsidP="00000000" w:rsidRDefault="00000000" w:rsidRPr="00000000" w14:paraId="00000014">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107</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17">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1A">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1C">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1D">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1E">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1F">
    <w:pPr>
      <w:tabs>
        <w:tab w:val="center" w:leader="none" w:pos="4153"/>
        <w:tab w:val="right" w:leader="none" w:pos="8306"/>
      </w:tabs>
      <w:spacing w:after="0" w:line="240" w:lineRule="auto"/>
      <w:rPr>
        <w:rFonts w:ascii="Calibri" w:cs="Calibri" w:eastAsia="Calibri" w:hAnsi="Calibri"/>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Subtitle">
    <w:name w:val="Subtitle"/>
    <w:basedOn w:val="Normal"/>
    <w:next w:val="Normal"/>
    <w:pPr/>
    <w:rPr>
      <w:rFonts w:ascii="Calibri" w:cs="Calibri" w:eastAsia="Calibri" w:hAnsi="Calibri"/>
      <w:i w:val="1"/>
      <w:color w:val="4f81bd"/>
      <w:sz w:val="24"/>
      <w:szCs w:val="24"/>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